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5A" w:rsidRPr="0068333E" w:rsidRDefault="0045155A" w:rsidP="0045155A">
      <w:pPr>
        <w:widowControl/>
        <w:shd w:val="clear" w:color="auto" w:fill="FFFFFF"/>
        <w:spacing w:before="120" w:after="240" w:line="450" w:lineRule="atLeast"/>
        <w:jc w:val="center"/>
        <w:outlineLvl w:val="3"/>
        <w:rPr>
          <w:rFonts w:ascii="黑体" w:eastAsia="黑体" w:hAnsi="黑体" w:cs="Helvetica"/>
          <w:b/>
          <w:color w:val="212121"/>
          <w:kern w:val="0"/>
          <w:sz w:val="32"/>
          <w:szCs w:val="24"/>
        </w:rPr>
      </w:pPr>
      <w:bookmarkStart w:id="0" w:name="_GoBack"/>
      <w:r w:rsidRPr="0045155A">
        <w:rPr>
          <w:rFonts w:ascii="黑体" w:eastAsia="黑体" w:hAnsi="黑体" w:cs="Helvetica"/>
          <w:b/>
          <w:color w:val="212121"/>
          <w:kern w:val="0"/>
          <w:sz w:val="32"/>
          <w:szCs w:val="24"/>
        </w:rPr>
        <w:t>全国金融硕士专业学位（MF）指导性培养方案</w:t>
      </w:r>
    </w:p>
    <w:p w:rsidR="0045155A" w:rsidRPr="0045155A" w:rsidRDefault="0045155A" w:rsidP="0045155A">
      <w:pPr>
        <w:widowControl/>
        <w:shd w:val="clear" w:color="auto" w:fill="FFFFFF"/>
        <w:spacing w:before="120" w:after="240" w:line="450" w:lineRule="atLeast"/>
        <w:jc w:val="center"/>
        <w:outlineLvl w:val="3"/>
        <w:rPr>
          <w:rFonts w:ascii="黑体" w:eastAsia="黑体" w:hAnsi="黑体" w:cs="Helvetica"/>
          <w:b/>
          <w:color w:val="212121"/>
          <w:kern w:val="0"/>
          <w:sz w:val="32"/>
          <w:szCs w:val="24"/>
        </w:rPr>
      </w:pPr>
      <w:r w:rsidRPr="0045155A">
        <w:rPr>
          <w:rFonts w:ascii="黑体" w:eastAsia="黑体" w:hAnsi="黑体" w:cs="Helvetica"/>
          <w:b/>
          <w:color w:val="212121"/>
          <w:kern w:val="0"/>
          <w:sz w:val="32"/>
          <w:szCs w:val="24"/>
        </w:rPr>
        <w:t>（金融教指委2014年修订）</w:t>
      </w:r>
    </w:p>
    <w:bookmarkEnd w:id="0"/>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b/>
          <w:bCs/>
          <w:color w:val="000000"/>
          <w:kern w:val="0"/>
          <w:sz w:val="24"/>
          <w:szCs w:val="24"/>
        </w:rPr>
        <w:t>一、培养目标及基本要求</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（一）培养目标</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具有扎实的经济、金融学理论基础，良好的职业道德，富有创新和进取精神，较强的从事金融实际工作能力的高层次应用型金融专业人才。</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（二）基本要求</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1、掌握马克思主义基本原理和中国特色社会主义理论体系，德智体美全面发展，具备良好的职业道德、专业素养和综合素质。</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2、具备扎实的金融学理论基础与技能，具有前瞻性和国际化视野，能够应用金融学的相关理论和方法解决实际问题。</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3、熟练地掌握和运用一门外语。</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4、身心健康。</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b/>
          <w:bCs/>
          <w:color w:val="000000"/>
          <w:kern w:val="0"/>
          <w:sz w:val="24"/>
          <w:szCs w:val="24"/>
        </w:rPr>
        <w:t>二、招生对象与入学考试</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（一）招生对象</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金融硕士专业学位的招生对象一般为学士及以上学位获得者。</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（二）入学考试</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实行全国金融硕士专业学位招生统一考试方式。</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（三）入学考试科目</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1、思想政治理论（100分）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lastRenderedPageBreak/>
        <w:t>2、外语（100分）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3、金融学基础（150分）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4、经济类专业学位综合能力测试（150分,其中：数学三70分，写作40分，逻辑40分）或数学三（150分）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注：截止2014年，大部分院校第四门考试科目为“数学三”，少部分试点院校参“经济类专业学位综合能力测试”联考。</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（四）录取方式</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根据考生的初试成绩和复试成绩择优录取。</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b/>
          <w:bCs/>
          <w:color w:val="000000"/>
          <w:kern w:val="0"/>
          <w:sz w:val="24"/>
          <w:szCs w:val="24"/>
        </w:rPr>
        <w:t>三、学习方式与年限</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全日制学习，学习年限一般为2年；非全日制学习，学习年限一般为2-3年。</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b/>
          <w:bCs/>
          <w:color w:val="000000"/>
          <w:kern w:val="0"/>
          <w:sz w:val="24"/>
          <w:szCs w:val="24"/>
        </w:rPr>
        <w:t>四、培养方式</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1、采用学分制。金融硕士专业学位研究生修满规定的学分，成绩合格者即可进入学位论文写作阶段；论文答辩通过后按规定的程序授予金融硕士专业学位。</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2、教学方式注重理论联系实际，采用课堂讲授与案例教学相结合，培养学生分析问题和解决问题的能力，并聘请有实践经验的专家、企业家和监管部门的人员开设讲座或承担部分课程。</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3、考评方式要综合评定学生的学习成绩，包括考试、平时作业、案例分析、课堂讨论、撰写专题报告等。</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4、加强实践环节。</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5、注重职业道德的培养。</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lastRenderedPageBreak/>
        <w:t>6、设置论文导师制度。</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b/>
          <w:bCs/>
          <w:color w:val="000000"/>
          <w:kern w:val="0"/>
          <w:sz w:val="24"/>
          <w:szCs w:val="24"/>
        </w:rPr>
        <w:t>五、培养工作</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金融硕士专业学位的总学分不少于37分，其中，必修课不少于17学分，选修课不少于16学分，专业实习4学分，毕业论文不计学分。</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（一）课程设置</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金融硕士专业学位课程设置包括公共基础课、专业必修课和专业选修课三类。具体课程及学分包括：</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1、公共基础课（5学分）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（1）外语    3学分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（2）中国特色社会主义理论与实践研究    2学分</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2、专业必修课（12学分，各培养单位任选四门）</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（1）金融理论与政策    3学分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（2）金融市场与金融机构    3学分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（3）财务报表分析    3学分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（4）投资学    3学分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（5）公司金融    3学分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（6）衍生金融工具    3学分</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3、选修课（必须修满16学分）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在完成以上核心课程研修与考核之外，还须至少学习掌握8门选修课程的知识和技能。全国金融专业学位研究生教育指导委员会推荐的选修课程有：</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lastRenderedPageBreak/>
        <w:t>（1）金融伦理与职业道德</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（2）金融监管</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（3）金融企业战略</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（4）行为金融学</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（5）金融服务营销</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（6）金融机构经营管理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（7）金融机构风险管理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（8）产品与服务流程创新设计</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（9）财富管理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（10）基金投资与管理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（11）企业并购与重组实务</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（12）金融数据分析</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（13）量化投资</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（14）固定收益证券。</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鼓励各培养单位在此基础上根据所在地区人才需求与自身特色拓展选修课范围。</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4、先修课（适用于本科非经济类专业学生）</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（1）会计学原理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（2）经济学原理</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（二）专业实习（4学分）</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lastRenderedPageBreak/>
        <w:t>在金融机构或政府及企事业单位的金融工作岗位实习不少于3个月。</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（三）学位论文</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论文的基本形式主要有：案例分析、产品设计与金融实践问题解决方案、调研报告或基于实际问题分析的政策建议报告等。论文选题应紧密结合实践问题，不提倡过于学术化的论文，提倡多种答辩形式。论文写作要规范，原则上不少于2万字。（有关学位论文写作可参看金融教指委2012年9月21日下发的《金融硕士学位论文写作指引》。）</w:t>
      </w:r>
    </w:p>
    <w:p w:rsidR="0045155A" w:rsidRPr="0045155A" w:rsidRDefault="0045155A" w:rsidP="0045155A">
      <w:pPr>
        <w:widowControl/>
        <w:shd w:val="clear" w:color="auto" w:fill="FFFFFF"/>
        <w:spacing w:before="240" w:after="240" w:line="480" w:lineRule="atLeast"/>
        <w:jc w:val="left"/>
        <w:rPr>
          <w:rFonts w:ascii="宋体" w:eastAsia="宋体" w:hAnsi="宋体" w:cs="Helvetica"/>
          <w:color w:val="777777"/>
          <w:kern w:val="0"/>
          <w:sz w:val="24"/>
          <w:szCs w:val="24"/>
        </w:rPr>
      </w:pPr>
      <w:r w:rsidRPr="0045155A">
        <w:rPr>
          <w:rFonts w:ascii="宋体" w:eastAsia="宋体" w:hAnsi="宋体" w:cs="Helvetica" w:hint="eastAsia"/>
          <w:b/>
          <w:bCs/>
          <w:color w:val="000000"/>
          <w:kern w:val="0"/>
          <w:sz w:val="24"/>
          <w:szCs w:val="24"/>
        </w:rPr>
        <w:t>六、学位授予</w:t>
      </w:r>
    </w:p>
    <w:p w:rsidR="0045155A" w:rsidRPr="0045155A" w:rsidRDefault="0045155A" w:rsidP="0045155A">
      <w:pPr>
        <w:widowControl/>
        <w:shd w:val="clear" w:color="auto" w:fill="FFFFFF"/>
        <w:spacing w:before="240" w:after="240" w:line="480" w:lineRule="atLeast"/>
        <w:ind w:firstLine="480"/>
        <w:jc w:val="left"/>
        <w:rPr>
          <w:rFonts w:ascii="宋体" w:eastAsia="宋体" w:hAnsi="宋体" w:cs="Helvetica"/>
          <w:color w:val="777777"/>
          <w:kern w:val="0"/>
          <w:sz w:val="24"/>
          <w:szCs w:val="24"/>
        </w:rPr>
      </w:pPr>
      <w:r w:rsidRPr="0045155A">
        <w:rPr>
          <w:rFonts w:ascii="宋体" w:eastAsia="宋体" w:hAnsi="宋体" w:cs="Helvetica" w:hint="eastAsia"/>
          <w:color w:val="000000"/>
          <w:kern w:val="0"/>
          <w:sz w:val="24"/>
          <w:szCs w:val="24"/>
        </w:rPr>
        <w:t>修满规定学分、完成专业实习并通过论文答辩者，经学位授予单位学位评定委员会审核，授予金融硕士专业学位，同时获得硕士研究生毕业证书。</w:t>
      </w:r>
    </w:p>
    <w:p w:rsidR="00001CBA" w:rsidRPr="0045155A" w:rsidRDefault="00001CBA">
      <w:pPr>
        <w:rPr>
          <w:rFonts w:ascii="宋体" w:eastAsia="宋体" w:hAnsi="宋体"/>
          <w:sz w:val="24"/>
          <w:szCs w:val="24"/>
        </w:rPr>
      </w:pPr>
    </w:p>
    <w:sectPr w:rsidR="00001CBA" w:rsidRPr="00451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729" w:rsidRDefault="00251729" w:rsidP="0045155A">
      <w:r>
        <w:separator/>
      </w:r>
    </w:p>
  </w:endnote>
  <w:endnote w:type="continuationSeparator" w:id="0">
    <w:p w:rsidR="00251729" w:rsidRDefault="00251729" w:rsidP="0045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729" w:rsidRDefault="00251729" w:rsidP="0045155A">
      <w:r>
        <w:separator/>
      </w:r>
    </w:p>
  </w:footnote>
  <w:footnote w:type="continuationSeparator" w:id="0">
    <w:p w:rsidR="00251729" w:rsidRDefault="00251729" w:rsidP="00451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B1"/>
    <w:rsid w:val="00001CBA"/>
    <w:rsid w:val="00251729"/>
    <w:rsid w:val="0045155A"/>
    <w:rsid w:val="0068333E"/>
    <w:rsid w:val="00F3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DD6E9"/>
  <w15:chartTrackingRefBased/>
  <w15:docId w15:val="{12381C77-7320-4756-AEAC-24A60C84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45155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5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155A"/>
    <w:rPr>
      <w:sz w:val="18"/>
      <w:szCs w:val="18"/>
    </w:rPr>
  </w:style>
  <w:style w:type="paragraph" w:styleId="a5">
    <w:name w:val="footer"/>
    <w:basedOn w:val="a"/>
    <w:link w:val="a6"/>
    <w:uiPriority w:val="99"/>
    <w:unhideWhenUsed/>
    <w:rsid w:val="0045155A"/>
    <w:pPr>
      <w:tabs>
        <w:tab w:val="center" w:pos="4153"/>
        <w:tab w:val="right" w:pos="8306"/>
      </w:tabs>
      <w:snapToGrid w:val="0"/>
      <w:jc w:val="left"/>
    </w:pPr>
    <w:rPr>
      <w:sz w:val="18"/>
      <w:szCs w:val="18"/>
    </w:rPr>
  </w:style>
  <w:style w:type="character" w:customStyle="1" w:styleId="a6">
    <w:name w:val="页脚 字符"/>
    <w:basedOn w:val="a0"/>
    <w:link w:val="a5"/>
    <w:uiPriority w:val="99"/>
    <w:rsid w:val="0045155A"/>
    <w:rPr>
      <w:sz w:val="18"/>
      <w:szCs w:val="18"/>
    </w:rPr>
  </w:style>
  <w:style w:type="character" w:customStyle="1" w:styleId="40">
    <w:name w:val="标题 4 字符"/>
    <w:basedOn w:val="a0"/>
    <w:link w:val="4"/>
    <w:uiPriority w:val="9"/>
    <w:rsid w:val="0045155A"/>
    <w:rPr>
      <w:rFonts w:ascii="宋体" w:eastAsia="宋体" w:hAnsi="宋体" w:cs="宋体"/>
      <w:b/>
      <w:bCs/>
      <w:kern w:val="0"/>
      <w:sz w:val="24"/>
      <w:szCs w:val="24"/>
    </w:rPr>
  </w:style>
  <w:style w:type="paragraph" w:styleId="a7">
    <w:name w:val="Normal (Web)"/>
    <w:basedOn w:val="a"/>
    <w:uiPriority w:val="99"/>
    <w:semiHidden/>
    <w:unhideWhenUsed/>
    <w:rsid w:val="0045155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51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413292">
      <w:bodyDiv w:val="1"/>
      <w:marLeft w:val="0"/>
      <w:marRight w:val="0"/>
      <w:marTop w:val="0"/>
      <w:marBottom w:val="0"/>
      <w:divBdr>
        <w:top w:val="none" w:sz="0" w:space="0" w:color="auto"/>
        <w:left w:val="none" w:sz="0" w:space="0" w:color="auto"/>
        <w:bottom w:val="none" w:sz="0" w:space="0" w:color="auto"/>
        <w:right w:val="none" w:sz="0" w:space="0" w:color="auto"/>
      </w:divBdr>
      <w:divsChild>
        <w:div w:id="613295088">
          <w:marLeft w:val="0"/>
          <w:marRight w:val="0"/>
          <w:marTop w:val="0"/>
          <w:marBottom w:val="0"/>
          <w:divBdr>
            <w:top w:val="none" w:sz="0" w:space="0" w:color="auto"/>
            <w:left w:val="none" w:sz="0" w:space="0" w:color="auto"/>
            <w:bottom w:val="none" w:sz="0" w:space="0" w:color="auto"/>
            <w:right w:val="none" w:sz="0" w:space="0" w:color="auto"/>
          </w:divBdr>
        </w:div>
        <w:div w:id="111728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254</Words>
  <Characters>1452</Characters>
  <Application>Microsoft Office Word</Application>
  <DocSecurity>0</DocSecurity>
  <Lines>12</Lines>
  <Paragraphs>3</Paragraphs>
  <ScaleCrop>false</ScaleCrop>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4</cp:revision>
  <dcterms:created xsi:type="dcterms:W3CDTF">2021-04-26T07:39:00Z</dcterms:created>
  <dcterms:modified xsi:type="dcterms:W3CDTF">2021-04-26T07:45:00Z</dcterms:modified>
</cp:coreProperties>
</file>